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19 בדצמבר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ז' בטבת תשפ"ד</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4700-1039-2023-010073</w:t>
      </w:r>
      <w:r w:rsidRPr="00832AD7">
        <w:rPr>
          <w:rFonts w:ascii="Times New Roman" w:eastAsia="Times New Roman" w:hAnsi="Times New Roman" w:cs="David" w:hint="cs"/>
          <w:sz w:val="16"/>
          <w:szCs w:val="16"/>
          <w:rtl/>
        </w:rPr>
        <w:fldChar w:fldCharType="end"/>
      </w:r>
    </w:p>
    <w:p w:rsidR="00541C9E" w:rsidRPr="000071E5" w:rsidRDefault="00B222A1" w:rsidP="00B222A1">
      <w:pPr>
        <w:spacing w:after="120" w:line="360" w:lineRule="auto"/>
        <w:contextualSpacing/>
        <w:jc w:val="center"/>
        <w:rPr>
          <w:rFonts w:ascii="FrankRuehl" w:hAnsi="FrankRuehl" w:cs="FrankRuehl"/>
          <w:b/>
          <w:bCs/>
          <w:color w:val="002060"/>
          <w:sz w:val="32"/>
          <w:szCs w:val="32"/>
          <w:rtl/>
        </w:rPr>
      </w:pPr>
      <w:r>
        <w:rPr>
          <w:rFonts w:ascii="FrankRuehl" w:hAnsi="FrankRuehl" w:cs="FrankRuehl"/>
          <w:b/>
          <w:bCs/>
          <w:color w:val="002060"/>
          <w:sz w:val="32"/>
          <w:szCs w:val="32"/>
          <w:u w:val="single"/>
          <w:rtl/>
        </w:rPr>
        <w:t xml:space="preserve">תקציר </w:t>
      </w:r>
      <w:r w:rsidR="00541C9E" w:rsidRPr="000071E5">
        <w:rPr>
          <w:rFonts w:ascii="FrankRuehl" w:hAnsi="FrankRuehl" w:cs="FrankRuehl" w:hint="cs"/>
          <w:b/>
          <w:bCs/>
          <w:color w:val="002060"/>
          <w:sz w:val="32"/>
          <w:szCs w:val="32"/>
          <w:u w:val="single"/>
          <w:rtl/>
        </w:rPr>
        <w:t>הכרעת-דין</w:t>
      </w:r>
      <w:r>
        <w:rPr>
          <w:rFonts w:ascii="FrankRuehl" w:hAnsi="FrankRuehl" w:cs="FrankRuehl" w:hint="cs"/>
          <w:b/>
          <w:bCs/>
          <w:color w:val="002060"/>
          <w:sz w:val="32"/>
          <w:szCs w:val="32"/>
          <w:u w:val="single"/>
          <w:rtl/>
        </w:rPr>
        <w:t xml:space="preserve"> בתיק תפ"ח </w:t>
      </w:r>
      <w:proofErr w:type="spellStart"/>
      <w:r w:rsidRPr="00B222A1">
        <w:rPr>
          <w:rFonts w:ascii="FrankRuehl" w:hAnsi="FrankRuehl" w:cs="FrankRuehl"/>
          <w:b/>
          <w:bCs/>
          <w:color w:val="002060"/>
          <w:sz w:val="32"/>
          <w:szCs w:val="32"/>
          <w:u w:val="single"/>
          <w:rtl/>
        </w:rPr>
        <w:t>תפ"ח</w:t>
      </w:r>
      <w:proofErr w:type="spellEnd"/>
      <w:r w:rsidRPr="00B222A1">
        <w:rPr>
          <w:rFonts w:ascii="FrankRuehl" w:hAnsi="FrankRuehl" w:cs="FrankRuehl"/>
          <w:b/>
          <w:bCs/>
          <w:color w:val="002060"/>
          <w:sz w:val="32"/>
          <w:szCs w:val="32"/>
          <w:u w:val="single"/>
          <w:rtl/>
        </w:rPr>
        <w:t xml:space="preserve"> 31636-02-21</w:t>
      </w:r>
      <w:r>
        <w:rPr>
          <w:rFonts w:ascii="FrankRuehl" w:hAnsi="FrankRuehl" w:cs="FrankRuehl" w:hint="cs"/>
          <w:b/>
          <w:bCs/>
          <w:color w:val="002060"/>
          <w:sz w:val="32"/>
          <w:szCs w:val="32"/>
          <w:u w:val="single"/>
          <w:rtl/>
        </w:rPr>
        <w:t xml:space="preserve"> מדינת ישראל נגד מחמד מסעד</w:t>
      </w:r>
    </w:p>
    <w:p w:rsidR="00541C9E" w:rsidRPr="00B222A1" w:rsidRDefault="00B222A1" w:rsidP="00541C9E">
      <w:pPr>
        <w:spacing w:after="120"/>
        <w:contextualSpacing/>
        <w:jc w:val="center"/>
        <w:rPr>
          <w:rFonts w:ascii="FrankRuehl" w:hAnsi="FrankRuehl" w:cs="FrankRuehl"/>
          <w:b/>
          <w:bCs/>
          <w:color w:val="002060"/>
          <w:sz w:val="32"/>
          <w:szCs w:val="32"/>
          <w:u w:val="single"/>
          <w:rtl/>
        </w:rPr>
      </w:pPr>
      <w:r w:rsidRPr="00B222A1">
        <w:rPr>
          <w:rFonts w:ascii="FrankRuehl" w:hAnsi="FrankRuehl" w:cs="FrankRuehl" w:hint="cs"/>
          <w:b/>
          <w:bCs/>
          <w:color w:val="002060"/>
          <w:sz w:val="32"/>
          <w:szCs w:val="32"/>
          <w:u w:val="single"/>
          <w:rtl/>
        </w:rPr>
        <w:t xml:space="preserve">אב"ד השופט </w:t>
      </w:r>
      <w:r w:rsidRPr="00B222A1">
        <w:rPr>
          <w:rFonts w:ascii="FrankRuehl" w:hAnsi="FrankRuehl" w:cs="FrankRuehl"/>
          <w:b/>
          <w:bCs/>
          <w:color w:val="002060"/>
          <w:sz w:val="32"/>
          <w:szCs w:val="32"/>
          <w:u w:val="single"/>
          <w:rtl/>
        </w:rPr>
        <w:t xml:space="preserve">דניאל בן טולילה, </w:t>
      </w:r>
      <w:r w:rsidRPr="00B222A1">
        <w:rPr>
          <w:rFonts w:ascii="FrankRuehl" w:hAnsi="FrankRuehl" w:cs="FrankRuehl" w:hint="cs"/>
          <w:b/>
          <w:bCs/>
          <w:color w:val="002060"/>
          <w:sz w:val="32"/>
          <w:szCs w:val="32"/>
          <w:u w:val="single"/>
          <w:rtl/>
        </w:rPr>
        <w:t xml:space="preserve">השופטת </w:t>
      </w:r>
      <w:r w:rsidRPr="00B222A1">
        <w:rPr>
          <w:rFonts w:ascii="FrankRuehl" w:hAnsi="FrankRuehl" w:cs="FrankRuehl"/>
          <w:b/>
          <w:bCs/>
          <w:color w:val="002060"/>
          <w:sz w:val="32"/>
          <w:szCs w:val="32"/>
          <w:u w:val="single"/>
          <w:rtl/>
        </w:rPr>
        <w:t>טל לחיאני שהם ו</w:t>
      </w:r>
      <w:r w:rsidRPr="00B222A1">
        <w:rPr>
          <w:rFonts w:ascii="FrankRuehl" w:hAnsi="FrankRuehl" w:cs="FrankRuehl" w:hint="cs"/>
          <w:b/>
          <w:bCs/>
          <w:color w:val="002060"/>
          <w:sz w:val="32"/>
          <w:szCs w:val="32"/>
          <w:u w:val="single"/>
          <w:rtl/>
        </w:rPr>
        <w:t xml:space="preserve">השופט </w:t>
      </w:r>
      <w:r w:rsidRPr="00B222A1">
        <w:rPr>
          <w:rFonts w:ascii="FrankRuehl" w:hAnsi="FrankRuehl" w:cs="FrankRuehl"/>
          <w:b/>
          <w:bCs/>
          <w:color w:val="002060"/>
          <w:sz w:val="32"/>
          <w:szCs w:val="32"/>
          <w:u w:val="single"/>
          <w:rtl/>
        </w:rPr>
        <w:t>יואב עטר</w:t>
      </w:r>
    </w:p>
    <w:p w:rsidR="00B222A1" w:rsidRPr="002D6259" w:rsidRDefault="00B222A1" w:rsidP="00B222A1">
      <w:pPr>
        <w:spacing w:line="360" w:lineRule="auto"/>
        <w:jc w:val="both"/>
        <w:rPr>
          <w:rFonts w:ascii="David" w:hAnsi="David" w:cs="David"/>
          <w:sz w:val="24"/>
          <w:szCs w:val="24"/>
          <w:rtl/>
        </w:rPr>
      </w:pPr>
      <w:r w:rsidRPr="002D6259">
        <w:rPr>
          <w:rFonts w:ascii="David" w:hAnsi="David" w:cs="David"/>
          <w:sz w:val="24"/>
          <w:szCs w:val="24"/>
          <w:rtl/>
        </w:rPr>
        <w:t>בית המשפט המחוזי בבאר שבע (הרכב השופטים דניאל בן טולילה</w:t>
      </w:r>
      <w:r w:rsidRPr="002D6259">
        <w:rPr>
          <w:rFonts w:ascii="David" w:hAnsi="David" w:cs="David" w:hint="cs"/>
          <w:sz w:val="24"/>
          <w:szCs w:val="24"/>
          <w:rtl/>
        </w:rPr>
        <w:t>, טל לחיאני שהם ויואב עטר</w:t>
      </w:r>
      <w:r w:rsidRPr="002D6259">
        <w:rPr>
          <w:rFonts w:ascii="David" w:hAnsi="David" w:cs="David"/>
          <w:sz w:val="24"/>
          <w:szCs w:val="24"/>
          <w:rtl/>
        </w:rPr>
        <w:t xml:space="preserve">) </w:t>
      </w:r>
      <w:r w:rsidRPr="002D6259">
        <w:rPr>
          <w:rFonts w:ascii="David" w:hAnsi="David" w:cs="David" w:hint="cs"/>
          <w:sz w:val="24"/>
          <w:szCs w:val="24"/>
          <w:rtl/>
        </w:rPr>
        <w:t>הרשיע</w:t>
      </w:r>
      <w:r w:rsidRPr="002D6259">
        <w:rPr>
          <w:rFonts w:ascii="David" w:hAnsi="David" w:cs="David"/>
          <w:sz w:val="24"/>
          <w:szCs w:val="24"/>
          <w:rtl/>
        </w:rPr>
        <w:t xml:space="preserve"> היום </w:t>
      </w:r>
      <w:r w:rsidRPr="002D6259">
        <w:rPr>
          <w:rFonts w:ascii="David" w:hAnsi="David" w:cs="David" w:hint="cs"/>
          <w:sz w:val="24"/>
          <w:szCs w:val="24"/>
          <w:rtl/>
        </w:rPr>
        <w:t>את</w:t>
      </w:r>
      <w:r w:rsidRPr="002D6259">
        <w:rPr>
          <w:rFonts w:ascii="David" w:hAnsi="David" w:cs="David"/>
          <w:sz w:val="24"/>
          <w:szCs w:val="24"/>
          <w:rtl/>
        </w:rPr>
        <w:t xml:space="preserve"> הנאשם </w:t>
      </w:r>
      <w:r w:rsidRPr="002D6259">
        <w:rPr>
          <w:rFonts w:ascii="David" w:hAnsi="David" w:cs="David" w:hint="cs"/>
          <w:sz w:val="24"/>
          <w:szCs w:val="24"/>
          <w:rtl/>
        </w:rPr>
        <w:t>מחמד מסעד ברצח, עבירה לפי סעיף 300(א) לחוק העונשין, התשל"ז-1977</w:t>
      </w:r>
      <w:r>
        <w:rPr>
          <w:rFonts w:ascii="David" w:hAnsi="David" w:cs="David" w:hint="cs"/>
          <w:sz w:val="24"/>
          <w:szCs w:val="24"/>
          <w:rtl/>
        </w:rPr>
        <w:t xml:space="preserve">, </w:t>
      </w:r>
      <w:r w:rsidRPr="002D6259">
        <w:rPr>
          <w:rFonts w:ascii="David" w:hAnsi="David" w:cs="David" w:hint="cs"/>
          <w:sz w:val="24"/>
          <w:szCs w:val="24"/>
          <w:rtl/>
        </w:rPr>
        <w:t>זאת לאחר שביום 6.1.15 ירה הנאשם מאקדחו בראש</w:t>
      </w:r>
      <w:r>
        <w:rPr>
          <w:rFonts w:ascii="David" w:hAnsi="David" w:cs="David" w:hint="cs"/>
          <w:sz w:val="24"/>
          <w:szCs w:val="24"/>
          <w:rtl/>
        </w:rPr>
        <w:t>ו של מנהל מחלקת הגביה של המועצה המקומית ערערה</w:t>
      </w:r>
      <w:r w:rsidRPr="002D6259">
        <w:rPr>
          <w:rFonts w:ascii="David" w:hAnsi="David" w:cs="David" w:hint="cs"/>
          <w:sz w:val="24"/>
          <w:szCs w:val="24"/>
          <w:rtl/>
        </w:rPr>
        <w:t xml:space="preserve"> </w:t>
      </w:r>
      <w:r w:rsidRPr="002D6259">
        <w:rPr>
          <w:rFonts w:ascii="David" w:hAnsi="David" w:cs="David"/>
          <w:sz w:val="24"/>
          <w:szCs w:val="24"/>
          <w:rtl/>
        </w:rPr>
        <w:t xml:space="preserve">ופצע אותו קשות </w:t>
      </w:r>
      <w:r w:rsidRPr="002D6259">
        <w:rPr>
          <w:rFonts w:ascii="David" w:eastAsia="Calibri" w:hAnsi="David" w:cs="David"/>
          <w:sz w:val="24"/>
          <w:szCs w:val="24"/>
          <w:rtl/>
        </w:rPr>
        <w:t>על רקע הליכי עיקול לא מוצדקים לשיטתו.</w:t>
      </w:r>
    </w:p>
    <w:p w:rsidR="00B222A1" w:rsidRPr="002D6259" w:rsidRDefault="00B222A1" w:rsidP="00B222A1">
      <w:pPr>
        <w:spacing w:line="360" w:lineRule="auto"/>
        <w:jc w:val="both"/>
        <w:rPr>
          <w:rFonts w:ascii="David" w:hAnsi="David" w:cs="David"/>
          <w:sz w:val="24"/>
          <w:szCs w:val="24"/>
          <w:rtl/>
        </w:rPr>
      </w:pPr>
      <w:r w:rsidRPr="002D6259">
        <w:rPr>
          <w:rFonts w:ascii="David" w:hAnsi="David" w:cs="David" w:hint="cs"/>
          <w:sz w:val="24"/>
          <w:szCs w:val="24"/>
          <w:rtl/>
        </w:rPr>
        <w:t xml:space="preserve">תחילה, </w:t>
      </w:r>
      <w:r>
        <w:rPr>
          <w:rFonts w:ascii="David" w:hAnsi="David" w:cs="David" w:hint="cs"/>
          <w:sz w:val="24"/>
          <w:szCs w:val="24"/>
          <w:rtl/>
        </w:rPr>
        <w:t xml:space="preserve">הוגש נגד הנאשם </w:t>
      </w:r>
      <w:r w:rsidRPr="002D6259">
        <w:rPr>
          <w:rFonts w:ascii="David" w:hAnsi="David" w:cs="David" w:hint="cs"/>
          <w:sz w:val="24"/>
          <w:szCs w:val="24"/>
          <w:rtl/>
        </w:rPr>
        <w:t>כתב האישום בגין עבירה של ניסיון לרצח שכן המנוח</w:t>
      </w:r>
      <w:r w:rsidRPr="002D6259">
        <w:rPr>
          <w:rFonts w:ascii="David" w:hAnsi="David" w:cs="David"/>
          <w:sz w:val="24"/>
          <w:szCs w:val="24"/>
          <w:rtl/>
        </w:rPr>
        <w:t xml:space="preserve"> שרד את הירי בראשו</w:t>
      </w:r>
      <w:r>
        <w:rPr>
          <w:rFonts w:ascii="David" w:hAnsi="David" w:cs="David" w:hint="cs"/>
          <w:sz w:val="24"/>
          <w:szCs w:val="24"/>
          <w:rtl/>
        </w:rPr>
        <w:t>,</w:t>
      </w:r>
      <w:r w:rsidRPr="002D6259">
        <w:rPr>
          <w:rFonts w:ascii="David" w:hAnsi="David" w:cs="David"/>
          <w:sz w:val="24"/>
          <w:szCs w:val="24"/>
          <w:rtl/>
        </w:rPr>
        <w:t xml:space="preserve"> אולם נותר במצב סיעודי. </w:t>
      </w:r>
      <w:r w:rsidRPr="002D6259">
        <w:rPr>
          <w:rFonts w:ascii="David" w:hAnsi="David" w:cs="David" w:hint="cs"/>
          <w:sz w:val="24"/>
          <w:szCs w:val="24"/>
          <w:rtl/>
        </w:rPr>
        <w:t>ביום 29.</w:t>
      </w:r>
      <w:r>
        <w:rPr>
          <w:rFonts w:ascii="David" w:hAnsi="David" w:cs="David" w:hint="cs"/>
          <w:sz w:val="24"/>
          <w:szCs w:val="24"/>
          <w:rtl/>
        </w:rPr>
        <w:t>1</w:t>
      </w:r>
      <w:r w:rsidRPr="002D6259">
        <w:rPr>
          <w:rFonts w:ascii="David" w:hAnsi="David" w:cs="David" w:hint="cs"/>
          <w:sz w:val="24"/>
          <w:szCs w:val="24"/>
          <w:rtl/>
        </w:rPr>
        <w:t xml:space="preserve">.17 ניתנה הכרעת דין (תפ"ח 51088-01-15) במסגרתה הורשע הנאשם בעבירה </w:t>
      </w:r>
      <w:r>
        <w:rPr>
          <w:rFonts w:ascii="David" w:hAnsi="David" w:cs="David" w:hint="cs"/>
          <w:sz w:val="24"/>
          <w:szCs w:val="24"/>
          <w:rtl/>
        </w:rPr>
        <w:t>של ניסיון לרצח ונגזרו עליו</w:t>
      </w:r>
      <w:r w:rsidRPr="002D6259">
        <w:rPr>
          <w:rFonts w:ascii="David" w:hAnsi="David" w:cs="David" w:hint="cs"/>
          <w:sz w:val="24"/>
          <w:szCs w:val="24"/>
          <w:rtl/>
        </w:rPr>
        <w:t xml:space="preserve"> 18 שנות מאסר לריצוי בפועל</w:t>
      </w:r>
      <w:r>
        <w:rPr>
          <w:rFonts w:ascii="David" w:hAnsi="David" w:cs="David" w:hint="cs"/>
          <w:sz w:val="24"/>
          <w:szCs w:val="24"/>
          <w:rtl/>
        </w:rPr>
        <w:t xml:space="preserve"> לצד ענישה נלווית.</w:t>
      </w:r>
    </w:p>
    <w:p w:rsidR="00B222A1" w:rsidRPr="002D6259" w:rsidRDefault="00B222A1" w:rsidP="00B222A1">
      <w:pPr>
        <w:spacing w:line="360" w:lineRule="auto"/>
        <w:jc w:val="both"/>
        <w:rPr>
          <w:rFonts w:ascii="David" w:hAnsi="David" w:cs="David"/>
          <w:sz w:val="24"/>
          <w:szCs w:val="24"/>
          <w:rtl/>
        </w:rPr>
      </w:pPr>
      <w:r>
        <w:rPr>
          <w:rFonts w:ascii="David" w:hAnsi="David" w:cs="David" w:hint="cs"/>
          <w:sz w:val="24"/>
          <w:szCs w:val="24"/>
          <w:rtl/>
        </w:rPr>
        <w:t xml:space="preserve">ביום 20.2.20, </w:t>
      </w:r>
      <w:r w:rsidRPr="002D6259">
        <w:rPr>
          <w:rFonts w:ascii="David" w:hAnsi="David" w:cs="David"/>
          <w:sz w:val="24"/>
          <w:szCs w:val="24"/>
          <w:rtl/>
        </w:rPr>
        <w:t>בחלוף חמש שנים</w:t>
      </w:r>
      <w:r>
        <w:rPr>
          <w:rFonts w:ascii="David" w:hAnsi="David" w:cs="David" w:hint="cs"/>
          <w:sz w:val="24"/>
          <w:szCs w:val="24"/>
          <w:rtl/>
        </w:rPr>
        <w:t xml:space="preserve"> לאחר שנורה בראשו, המנוח נפטר </w:t>
      </w:r>
      <w:r w:rsidRPr="002D6259">
        <w:rPr>
          <w:rFonts w:ascii="David" w:hAnsi="David" w:cs="David"/>
          <w:sz w:val="24"/>
          <w:szCs w:val="24"/>
          <w:rtl/>
        </w:rPr>
        <w:t>בעקבות דלקת ריאות שה</w:t>
      </w:r>
      <w:r>
        <w:rPr>
          <w:rFonts w:ascii="David" w:hAnsi="David" w:cs="David"/>
          <w:sz w:val="24"/>
          <w:szCs w:val="24"/>
          <w:rtl/>
        </w:rPr>
        <w:t>ביאה לקריסת ריאותיו</w:t>
      </w:r>
      <w:r>
        <w:rPr>
          <w:rFonts w:ascii="David" w:hAnsi="David" w:cs="David" w:hint="cs"/>
          <w:sz w:val="24"/>
          <w:szCs w:val="24"/>
          <w:rtl/>
        </w:rPr>
        <w:t xml:space="preserve">. לאור האמור, בהתאם להוראת </w:t>
      </w:r>
      <w:r w:rsidRPr="00615CBF">
        <w:rPr>
          <w:rFonts w:ascii="David" w:hAnsi="David" w:cs="David" w:hint="eastAsia"/>
          <w:b/>
          <w:bCs/>
          <w:sz w:val="24"/>
          <w:szCs w:val="24"/>
          <w:rtl/>
        </w:rPr>
        <w:t>סעיף</w:t>
      </w:r>
      <w:r w:rsidRPr="00615CBF">
        <w:rPr>
          <w:rFonts w:ascii="David" w:hAnsi="David" w:cs="David"/>
          <w:b/>
          <w:bCs/>
          <w:sz w:val="24"/>
          <w:szCs w:val="24"/>
          <w:rtl/>
        </w:rPr>
        <w:t xml:space="preserve"> 5 </w:t>
      </w:r>
      <w:r w:rsidRPr="00615CBF">
        <w:rPr>
          <w:rFonts w:ascii="David" w:hAnsi="David" w:cs="David" w:hint="eastAsia"/>
          <w:b/>
          <w:bCs/>
          <w:sz w:val="24"/>
          <w:szCs w:val="24"/>
          <w:rtl/>
        </w:rPr>
        <w:t>לחוק</w:t>
      </w:r>
      <w:r w:rsidRPr="00615CBF">
        <w:rPr>
          <w:rFonts w:ascii="David" w:hAnsi="David" w:cs="David"/>
          <w:b/>
          <w:bCs/>
          <w:sz w:val="24"/>
          <w:szCs w:val="24"/>
          <w:rtl/>
        </w:rPr>
        <w:t xml:space="preserve"> </w:t>
      </w:r>
      <w:r w:rsidRPr="00615CBF">
        <w:rPr>
          <w:rFonts w:ascii="David" w:hAnsi="David" w:cs="David" w:hint="eastAsia"/>
          <w:b/>
          <w:bCs/>
          <w:sz w:val="24"/>
          <w:szCs w:val="24"/>
          <w:rtl/>
        </w:rPr>
        <w:t>סדר</w:t>
      </w:r>
      <w:r w:rsidRPr="00615CBF">
        <w:rPr>
          <w:rFonts w:ascii="David" w:hAnsi="David" w:cs="David"/>
          <w:b/>
          <w:bCs/>
          <w:sz w:val="24"/>
          <w:szCs w:val="24"/>
          <w:rtl/>
        </w:rPr>
        <w:t xml:space="preserve"> </w:t>
      </w:r>
      <w:r w:rsidRPr="00615CBF">
        <w:rPr>
          <w:rFonts w:ascii="David" w:hAnsi="David" w:cs="David" w:hint="eastAsia"/>
          <w:b/>
          <w:bCs/>
          <w:sz w:val="24"/>
          <w:szCs w:val="24"/>
          <w:rtl/>
        </w:rPr>
        <w:t>הדין</w:t>
      </w:r>
      <w:r w:rsidRPr="00615CBF">
        <w:rPr>
          <w:rFonts w:ascii="David" w:hAnsi="David" w:cs="David"/>
          <w:b/>
          <w:bCs/>
          <w:sz w:val="24"/>
          <w:szCs w:val="24"/>
          <w:rtl/>
        </w:rPr>
        <w:t xml:space="preserve"> </w:t>
      </w:r>
      <w:r w:rsidRPr="00615CBF">
        <w:rPr>
          <w:rFonts w:ascii="David" w:hAnsi="David" w:cs="David" w:hint="eastAsia"/>
          <w:b/>
          <w:bCs/>
          <w:sz w:val="24"/>
          <w:szCs w:val="24"/>
          <w:rtl/>
        </w:rPr>
        <w:t>הפלילי</w:t>
      </w:r>
      <w:r w:rsidRPr="00615CBF">
        <w:rPr>
          <w:rFonts w:ascii="David" w:hAnsi="David" w:cs="David"/>
          <w:b/>
          <w:bCs/>
          <w:sz w:val="24"/>
          <w:szCs w:val="24"/>
          <w:rtl/>
        </w:rPr>
        <w:t xml:space="preserve"> [נוסח </w:t>
      </w:r>
      <w:r w:rsidRPr="00615CBF">
        <w:rPr>
          <w:rFonts w:ascii="David" w:hAnsi="David" w:cs="David" w:hint="eastAsia"/>
          <w:b/>
          <w:bCs/>
          <w:sz w:val="24"/>
          <w:szCs w:val="24"/>
          <w:rtl/>
        </w:rPr>
        <w:t>משולב</w:t>
      </w:r>
      <w:r w:rsidRPr="00615CBF">
        <w:rPr>
          <w:rFonts w:ascii="David" w:hAnsi="David" w:cs="David"/>
          <w:b/>
          <w:bCs/>
          <w:sz w:val="24"/>
          <w:szCs w:val="24"/>
          <w:rtl/>
        </w:rPr>
        <w:t xml:space="preserve">], </w:t>
      </w:r>
      <w:r w:rsidRPr="00615CBF">
        <w:rPr>
          <w:rFonts w:ascii="David" w:hAnsi="David" w:cs="David" w:hint="eastAsia"/>
          <w:b/>
          <w:bCs/>
          <w:sz w:val="24"/>
          <w:szCs w:val="24"/>
          <w:rtl/>
        </w:rPr>
        <w:t>התשמ</w:t>
      </w:r>
      <w:r w:rsidRPr="00615CBF">
        <w:rPr>
          <w:rFonts w:ascii="David" w:hAnsi="David" w:cs="David"/>
          <w:b/>
          <w:bCs/>
          <w:sz w:val="24"/>
          <w:szCs w:val="24"/>
          <w:rtl/>
        </w:rPr>
        <w:t>"ב-1982</w:t>
      </w:r>
      <w:r>
        <w:rPr>
          <w:rFonts w:ascii="David" w:hAnsi="David" w:cs="David" w:hint="cs"/>
          <w:sz w:val="24"/>
          <w:szCs w:val="24"/>
          <w:rtl/>
        </w:rPr>
        <w:t>, הנאשם הועמד לדין פעם נוספת ובזו הפעם בגין עבירת רצח.</w:t>
      </w:r>
    </w:p>
    <w:p w:rsidR="00B222A1" w:rsidRDefault="00B222A1" w:rsidP="00B222A1">
      <w:pPr>
        <w:spacing w:before="120" w:after="120" w:line="360" w:lineRule="auto"/>
        <w:jc w:val="both"/>
        <w:rPr>
          <w:rFonts w:ascii="David" w:hAnsi="David" w:cs="David"/>
          <w:sz w:val="24"/>
          <w:szCs w:val="24"/>
          <w:rtl/>
        </w:rPr>
      </w:pPr>
      <w:r>
        <w:rPr>
          <w:rFonts w:ascii="David" w:hAnsi="David" w:cs="David" w:hint="cs"/>
          <w:sz w:val="24"/>
          <w:szCs w:val="24"/>
          <w:rtl/>
        </w:rPr>
        <w:t>הואיל וכבר נקבע בהליך הקודם כי הנאשם היה זה שירה בראשו של המנוח, המחלוקת בתיק נסובה בעיקרה, סביב שאלת קיומו של קשר סיבתי (עובדתי ומשפטי) בין הירי לבין המוות.</w:t>
      </w:r>
    </w:p>
    <w:p w:rsidR="00B222A1" w:rsidRDefault="00B222A1" w:rsidP="00B222A1">
      <w:pPr>
        <w:spacing w:before="120" w:after="120" w:line="360" w:lineRule="auto"/>
        <w:jc w:val="both"/>
        <w:rPr>
          <w:rFonts w:ascii="David" w:hAnsi="David" w:cs="David"/>
          <w:sz w:val="24"/>
          <w:szCs w:val="24"/>
          <w:rtl/>
        </w:rPr>
      </w:pPr>
      <w:r>
        <w:rPr>
          <w:rFonts w:ascii="David" w:hAnsi="David" w:cs="David" w:hint="cs"/>
          <w:sz w:val="24"/>
          <w:szCs w:val="24"/>
          <w:rtl/>
        </w:rPr>
        <w:t>לאחר ששמע את מומחה התביעה, פרופ' מימון, קבע בית המשפט כי הונחה לפניו</w:t>
      </w:r>
      <w:r w:rsidRPr="00697FB0">
        <w:rPr>
          <w:rFonts w:ascii="David" w:hAnsi="David" w:cs="David" w:hint="cs"/>
          <w:sz w:val="24"/>
          <w:szCs w:val="24"/>
          <w:rtl/>
        </w:rPr>
        <w:t xml:space="preserve"> תשתית ראייתית ברורה בדבר קשר </w:t>
      </w:r>
      <w:r>
        <w:rPr>
          <w:rFonts w:ascii="David" w:hAnsi="David" w:cs="David" w:hint="cs"/>
          <w:sz w:val="24"/>
          <w:szCs w:val="24"/>
          <w:rtl/>
        </w:rPr>
        <w:t>סיבתי עובדתי בין הירי של הנאשם בראשו של המנוח בשנת 2015</w:t>
      </w:r>
      <w:r w:rsidRPr="00697FB0">
        <w:rPr>
          <w:rFonts w:ascii="David" w:hAnsi="David" w:cs="David" w:hint="cs"/>
          <w:sz w:val="24"/>
          <w:szCs w:val="24"/>
          <w:rtl/>
        </w:rPr>
        <w:t xml:space="preserve"> לבין מותו</w:t>
      </w:r>
      <w:r>
        <w:rPr>
          <w:rFonts w:ascii="David" w:hAnsi="David" w:cs="David" w:hint="cs"/>
          <w:sz w:val="24"/>
          <w:szCs w:val="24"/>
          <w:rtl/>
        </w:rPr>
        <w:t xml:space="preserve"> בשנת 2020</w:t>
      </w:r>
      <w:r w:rsidRPr="00697FB0">
        <w:rPr>
          <w:rFonts w:ascii="David" w:hAnsi="David" w:cs="David" w:hint="cs"/>
          <w:sz w:val="24"/>
          <w:szCs w:val="24"/>
          <w:rtl/>
        </w:rPr>
        <w:t>.</w:t>
      </w:r>
      <w:r>
        <w:rPr>
          <w:rFonts w:ascii="David" w:hAnsi="David" w:cs="David" w:hint="cs"/>
          <w:sz w:val="24"/>
          <w:szCs w:val="24"/>
          <w:rtl/>
        </w:rPr>
        <w:t xml:space="preserve"> בית המשפט מצא כי קיומו של </w:t>
      </w:r>
      <w:r w:rsidRPr="00697FB0">
        <w:rPr>
          <w:rFonts w:ascii="David" w:hAnsi="David" w:cs="David" w:hint="cs"/>
          <w:sz w:val="24"/>
          <w:szCs w:val="24"/>
          <w:rtl/>
        </w:rPr>
        <w:t>הקשר הסיבתי העובדתי נובע מכמה גורמים</w:t>
      </w:r>
      <w:r>
        <w:rPr>
          <w:rFonts w:ascii="David" w:hAnsi="David" w:cs="David" w:hint="cs"/>
          <w:sz w:val="24"/>
          <w:szCs w:val="24"/>
          <w:rtl/>
        </w:rPr>
        <w:t xml:space="preserve">: </w:t>
      </w:r>
      <w:r w:rsidRPr="002D6259">
        <w:rPr>
          <w:rFonts w:ascii="David" w:hAnsi="David" w:cs="David" w:hint="cs"/>
          <w:b/>
          <w:bCs/>
          <w:sz w:val="24"/>
          <w:szCs w:val="24"/>
          <w:rtl/>
        </w:rPr>
        <w:t>"די בכך שפגיעת הראש הביאה לכך ש</w:t>
      </w:r>
      <w:r w:rsidRPr="001755C6">
        <w:rPr>
          <w:rFonts w:ascii="David" w:hAnsi="David" w:cs="David" w:hint="cs"/>
          <w:sz w:val="24"/>
          <w:szCs w:val="24"/>
          <w:rtl/>
        </w:rPr>
        <w:t>[ת.מ]</w:t>
      </w:r>
      <w:r w:rsidRPr="002D6259">
        <w:rPr>
          <w:rFonts w:ascii="David" w:hAnsi="David" w:cs="David" w:hint="cs"/>
          <w:b/>
          <w:bCs/>
          <w:sz w:val="24"/>
          <w:szCs w:val="24"/>
          <w:rtl/>
        </w:rPr>
        <w:t xml:space="preserve"> חרף גילו הצעיר, יסבול מאספירציות תכופות בשל הפרכוסים והשכיבה הממושכת </w:t>
      </w:r>
      <w:r w:rsidRPr="002D6259">
        <w:rPr>
          <w:rFonts w:ascii="David" w:hAnsi="David" w:cs="David"/>
          <w:b/>
          <w:bCs/>
          <w:sz w:val="24"/>
          <w:szCs w:val="24"/>
          <w:rtl/>
        </w:rPr>
        <w:t>–</w:t>
      </w:r>
      <w:r w:rsidRPr="002D6259">
        <w:rPr>
          <w:rFonts w:ascii="David" w:hAnsi="David" w:cs="David" w:hint="cs"/>
          <w:b/>
          <w:bCs/>
          <w:sz w:val="24"/>
          <w:szCs w:val="24"/>
          <w:rtl/>
        </w:rPr>
        <w:t xml:space="preserve"> ללא קשר לשאלת יכולתו לסלקן - לצורך הוכחת קיומו של קשר סיבתי. בדומה, די בכך ש</w:t>
      </w:r>
      <w:r w:rsidRPr="001755C6">
        <w:rPr>
          <w:rFonts w:ascii="David" w:hAnsi="David" w:cs="David" w:hint="cs"/>
          <w:sz w:val="24"/>
          <w:szCs w:val="24"/>
          <w:rtl/>
        </w:rPr>
        <w:t>[ת.מ]</w:t>
      </w:r>
      <w:r w:rsidRPr="002D6259">
        <w:rPr>
          <w:rFonts w:ascii="David" w:hAnsi="David" w:cs="David" w:hint="cs"/>
          <w:b/>
          <w:bCs/>
          <w:sz w:val="24"/>
          <w:szCs w:val="24"/>
          <w:rtl/>
        </w:rPr>
        <w:t xml:space="preserve"> אינו מסוגל לסלק באופן יעיל אספירציות מדרכי הנשימה שלו בשל פגיעת הראש</w:t>
      </w:r>
      <w:r w:rsidRPr="002D6259">
        <w:rPr>
          <w:rFonts w:ascii="David" w:hAnsi="David" w:cs="David"/>
          <w:b/>
          <w:bCs/>
          <w:sz w:val="24"/>
          <w:szCs w:val="24"/>
          <w:rtl/>
        </w:rPr>
        <w:t>–</w:t>
      </w:r>
      <w:r w:rsidRPr="002D6259">
        <w:rPr>
          <w:rFonts w:ascii="David" w:hAnsi="David" w:cs="David" w:hint="cs"/>
          <w:b/>
          <w:bCs/>
          <w:sz w:val="24"/>
          <w:szCs w:val="24"/>
          <w:rtl/>
        </w:rPr>
        <w:t xml:space="preserve"> אפילו סבל מאספירציות בודדות שאינן קשורות לפגיעת הראש  - לצורך הוכחת קיומו של קשר סיבתי עובדתי. הדברים הם בבחינת קל וחומר מקום בו הירי בראשו של </w:t>
      </w:r>
      <w:r w:rsidRPr="001755C6">
        <w:rPr>
          <w:rFonts w:ascii="David" w:hAnsi="David" w:cs="David" w:hint="cs"/>
          <w:sz w:val="24"/>
          <w:szCs w:val="24"/>
          <w:rtl/>
        </w:rPr>
        <w:t>[ת.מ]</w:t>
      </w:r>
      <w:r w:rsidRPr="002D6259">
        <w:rPr>
          <w:rFonts w:ascii="David" w:hAnsi="David" w:cs="David" w:hint="cs"/>
          <w:b/>
          <w:bCs/>
          <w:sz w:val="24"/>
          <w:szCs w:val="24"/>
          <w:rtl/>
        </w:rPr>
        <w:t xml:space="preserve"> הביא הן לאספירציות מוגברות (יצירת סיכון מוגבר) ובה בעת נטרל את המנגנון הטבעי של הגוף להתמודד עמן (החלשת מנגנוני ההגנה)"</w:t>
      </w:r>
      <w:r>
        <w:rPr>
          <w:rFonts w:ascii="David" w:hAnsi="David" w:cs="David" w:hint="cs"/>
          <w:b/>
          <w:bCs/>
          <w:sz w:val="24"/>
          <w:szCs w:val="24"/>
          <w:rtl/>
        </w:rPr>
        <w:t xml:space="preserve"> </w:t>
      </w:r>
      <w:r w:rsidRPr="002D6259">
        <w:rPr>
          <w:rFonts w:ascii="David" w:hAnsi="David" w:cs="David" w:hint="cs"/>
          <w:sz w:val="24"/>
          <w:szCs w:val="24"/>
          <w:rtl/>
        </w:rPr>
        <w:t>עוד קבע בית המשפט בהקשר לכך:</w:t>
      </w:r>
      <w:r>
        <w:rPr>
          <w:rFonts w:ascii="David" w:hAnsi="David" w:cs="David" w:hint="cs"/>
          <w:b/>
          <w:bCs/>
          <w:sz w:val="24"/>
          <w:szCs w:val="24"/>
          <w:rtl/>
        </w:rPr>
        <w:t xml:space="preserve"> "</w:t>
      </w:r>
      <w:r w:rsidRPr="002D6259">
        <w:rPr>
          <w:rFonts w:ascii="David" w:hAnsi="David" w:cs="David" w:hint="cs"/>
          <w:b/>
          <w:bCs/>
          <w:sz w:val="24"/>
          <w:szCs w:val="24"/>
          <w:rtl/>
        </w:rPr>
        <w:t>נדמה כי יותר משיש לתהות על הקשר הסיבתי בין הירייה בראשו למותו, יש "להעלות על נס" את הטיפול המסור אותו קיבל בבית החולים ובעיקר בביתו על ידי אשתו שהצליחו להותירו בחיים חרף הפגיעה הקשה ממנה סבל פרק זמן כה ממושך. טיפול זה היה בבחינת דחיית מותו מהפציעה</w:t>
      </w:r>
      <w:r>
        <w:rPr>
          <w:rFonts w:ascii="David" w:hAnsi="David" w:cs="David" w:hint="cs"/>
          <w:b/>
          <w:bCs/>
          <w:sz w:val="24"/>
          <w:szCs w:val="24"/>
          <w:rtl/>
        </w:rPr>
        <w:t>"</w:t>
      </w:r>
      <w:r w:rsidRPr="002D6259">
        <w:rPr>
          <w:rFonts w:ascii="David" w:hAnsi="David" w:cs="David" w:hint="cs"/>
          <w:b/>
          <w:bCs/>
          <w:sz w:val="24"/>
          <w:szCs w:val="24"/>
          <w:rtl/>
        </w:rPr>
        <w:t>.</w:t>
      </w:r>
      <w:r>
        <w:rPr>
          <w:rFonts w:ascii="David" w:hAnsi="David" w:cs="David" w:hint="cs"/>
          <w:sz w:val="24"/>
          <w:szCs w:val="24"/>
          <w:rtl/>
        </w:rPr>
        <w:t xml:space="preserve"> </w:t>
      </w:r>
    </w:p>
    <w:p w:rsidR="00B222A1" w:rsidRDefault="00B222A1" w:rsidP="00B222A1">
      <w:pPr>
        <w:spacing w:before="120" w:after="120" w:line="360" w:lineRule="auto"/>
        <w:jc w:val="both"/>
        <w:rPr>
          <w:rFonts w:ascii="David" w:hAnsi="David" w:cs="David"/>
          <w:sz w:val="24"/>
          <w:szCs w:val="24"/>
          <w:rtl/>
        </w:rPr>
      </w:pPr>
      <w:r>
        <w:rPr>
          <w:rFonts w:ascii="David" w:hAnsi="David" w:cs="David" w:hint="cs"/>
          <w:sz w:val="24"/>
          <w:szCs w:val="24"/>
          <w:rtl/>
        </w:rPr>
        <w:t xml:space="preserve">באשר לקיומו של קשר סיבתי משפטי נקבע כי הנאשם צפה והיה עליו לצפות כי גם אם הירייה בראשו של המנוח לא תביא למותו באופן מידי, תוצאה קטלנית זו תתממש כתוצאה מסיבוכים רפואיים הקשורים לחבלת הראש שנגרמה לו. </w:t>
      </w:r>
    </w:p>
    <w:p w:rsidR="00B222A1" w:rsidRDefault="00B222A1" w:rsidP="00B222A1">
      <w:pPr>
        <w:spacing w:before="120" w:after="120" w:line="360" w:lineRule="auto"/>
        <w:jc w:val="both"/>
        <w:rPr>
          <w:rFonts w:ascii="David" w:hAnsi="David" w:cs="David"/>
          <w:sz w:val="24"/>
          <w:szCs w:val="24"/>
          <w:rtl/>
        </w:rPr>
      </w:pPr>
      <w:r>
        <w:rPr>
          <w:rFonts w:ascii="David" w:hAnsi="David" w:cs="David" w:hint="cs"/>
          <w:sz w:val="24"/>
          <w:szCs w:val="24"/>
          <w:rtl/>
        </w:rPr>
        <w:t xml:space="preserve">בית המשפט דחה את טענת ההגנה הנוספת לפיה הנאשם </w:t>
      </w:r>
      <w:proofErr w:type="spellStart"/>
      <w:r>
        <w:rPr>
          <w:rFonts w:ascii="David" w:hAnsi="David" w:cs="David" w:hint="cs"/>
          <w:sz w:val="24"/>
          <w:szCs w:val="24"/>
          <w:rtl/>
        </w:rPr>
        <w:t>קונטר</w:t>
      </w:r>
      <w:proofErr w:type="spellEnd"/>
      <w:r>
        <w:rPr>
          <w:rFonts w:ascii="David" w:hAnsi="David" w:cs="David" w:hint="cs"/>
          <w:sz w:val="24"/>
          <w:szCs w:val="24"/>
          <w:rtl/>
        </w:rPr>
        <w:t xml:space="preserve"> עובר לירי שביצע במנוח וזאת גם בהתאם לדין החדש שחל לאחר הרפורמה בעבירות ההמתה (תיקון 137). </w:t>
      </w:r>
    </w:p>
    <w:p w:rsidR="00541C9E" w:rsidRPr="00B222A1" w:rsidRDefault="00B222A1" w:rsidP="00B222A1">
      <w:pPr>
        <w:spacing w:before="120" w:after="120" w:line="360" w:lineRule="auto"/>
        <w:jc w:val="both"/>
        <w:rPr>
          <w:rFonts w:ascii="David" w:hAnsi="David" w:cs="David"/>
          <w:sz w:val="24"/>
          <w:szCs w:val="24"/>
          <w:rtl/>
        </w:rPr>
      </w:pPr>
      <w:r>
        <w:rPr>
          <w:rFonts w:ascii="David" w:hAnsi="David" w:cs="David" w:hint="cs"/>
          <w:sz w:val="24"/>
          <w:szCs w:val="24"/>
          <w:rtl/>
        </w:rPr>
        <w:t>התיק נדחה לשמיעת הטיעונים לעונש.</w:t>
      </w:r>
    </w:p>
    <w:p w:rsidR="002453CF" w:rsidRPr="00B222A1" w:rsidRDefault="00541C9E" w:rsidP="00B222A1">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2453CF" w:rsidRPr="00B222A1" w:rsidSect="00B222A1">
      <w:headerReference w:type="default" r:id="rId8"/>
      <w:footerReference w:type="default" r:id="rId9"/>
      <w:pgSz w:w="11906" w:h="16838"/>
      <w:pgMar w:top="1361" w:right="1418" w:bottom="1361"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4C8" w:rsidRDefault="007604C8" w:rsidP="00730CA1">
      <w:pPr>
        <w:spacing w:after="0" w:line="240" w:lineRule="auto"/>
      </w:pPr>
      <w:r>
        <w:separator/>
      </w:r>
    </w:p>
  </w:endnote>
  <w:endnote w:type="continuationSeparator" w:id="0">
    <w:p w:rsidR="007604C8" w:rsidRDefault="007604C8"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4C8" w:rsidRDefault="007604C8" w:rsidP="00730CA1">
      <w:pPr>
        <w:spacing w:after="0" w:line="240" w:lineRule="auto"/>
      </w:pPr>
      <w:r>
        <w:separator/>
      </w:r>
    </w:p>
  </w:footnote>
  <w:footnote w:type="continuationSeparator" w:id="0">
    <w:p w:rsidR="007604C8" w:rsidRDefault="007604C8"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B222A1"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16"/>
        <w:szCs w:val="20"/>
        <w:lang w:eastAsia="he-IL"/>
      </w:rPr>
    </w:pPr>
    <w:r w:rsidRPr="00B222A1">
      <w:rPr>
        <w:rFonts w:ascii="Times New Roman" w:eastAsia="Times New Roman" w:hAnsi="Times New Roman" w:cs="David"/>
        <w:noProof/>
        <w:sz w:val="16"/>
        <w:szCs w:val="20"/>
      </w:rPr>
      <w:drawing>
        <wp:inline distT="0" distB="0" distL="0" distR="0">
          <wp:extent cx="293288" cy="346613"/>
          <wp:effectExtent l="0" t="0" r="0" b="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293" cy="353710"/>
                  </a:xfrm>
                  <a:prstGeom prst="rect">
                    <a:avLst/>
                  </a:prstGeom>
                  <a:noFill/>
                  <a:ln>
                    <a:noFill/>
                  </a:ln>
                </pic:spPr>
              </pic:pic>
            </a:graphicData>
          </a:graphic>
        </wp:inline>
      </w:drawing>
    </w:r>
    <w:r w:rsidRPr="00B222A1">
      <w:rPr>
        <w:rFonts w:ascii="Century" w:eastAsia="Times New Roman" w:hAnsi="Century" w:cs="FrankRuehl" w:hint="cs"/>
        <w:noProof/>
        <w:spacing w:val="10"/>
        <w:sz w:val="16"/>
        <w:rtl/>
        <w:lang w:eastAsia="he-IL"/>
      </w:rPr>
      <w:t xml:space="preserve">                                            </w:t>
    </w:r>
  </w:p>
  <w:p w:rsidR="005253B2" w:rsidRPr="00B222A1"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rtl/>
        <w:lang w:eastAsia="he-IL"/>
      </w:rPr>
    </w:pPr>
    <w:r w:rsidRPr="00B222A1">
      <w:rPr>
        <w:rFonts w:ascii="Times New Roman" w:eastAsia="Times New Roman" w:hAnsi="Times New Roman" w:cs="FrankRuehl" w:hint="cs"/>
        <w:b/>
        <w:bCs/>
        <w:color w:val="000080"/>
        <w:spacing w:val="6"/>
        <w:rtl/>
        <w:lang w:eastAsia="he-IL"/>
      </w:rPr>
      <w:t>מערכת בתי המשפט</w:t>
    </w:r>
  </w:p>
  <w:p w:rsidR="007007D7" w:rsidRPr="00B222A1"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lang w:eastAsia="he-IL"/>
      </w:rPr>
    </w:pPr>
    <w:r w:rsidRPr="00B222A1">
      <w:rPr>
        <w:rFonts w:ascii="Times New Roman" w:eastAsia="Times New Roman" w:hAnsi="Times New Roman" w:cs="FrankRuehl" w:hint="cs"/>
        <w:b/>
        <w:bCs/>
        <w:color w:val="000080"/>
        <w:spacing w:val="6"/>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17620"/>
    <w:rsid w:val="002453CF"/>
    <w:rsid w:val="002C0E83"/>
    <w:rsid w:val="003921C3"/>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604C8"/>
    <w:rsid w:val="007B7899"/>
    <w:rsid w:val="00832AD7"/>
    <w:rsid w:val="008C02E0"/>
    <w:rsid w:val="00983123"/>
    <w:rsid w:val="009E5C0E"/>
    <w:rsid w:val="00AD7644"/>
    <w:rsid w:val="00B16422"/>
    <w:rsid w:val="00B222A1"/>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20C28E05-D176-4D61-9DD3-3BCE0E9A7FC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489</Words>
  <Characters>2449</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2023-12-20T08:56:00Z</dcterms:created>
  <dcterms:modified xsi:type="dcterms:W3CDTF">2023-12-20T08:56:00Z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19 בדצמבר 2023</vt:lpwstr>
  </property>
  <property fmtid="{D5CDD505-2E9C-101B-9397-08002B2CF9AE}" pid="3" name="DocDateHeb">
    <vt:lpwstr>ז' בטבת תשפ"ד</vt:lpwstr>
  </property>
  <property fmtid="{D5CDD505-2E9C-101B-9397-08002B2CF9AE}" pid="4" name="DocNumber">
    <vt:lpwstr>4700-1039-2023-010073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תיק תפ"ח 31636-02-21</vt:lpwstr>
  </property>
</Properties>
</file>